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99</w:t>
      </w:r>
    </w:p>
    <w:p>
      <w:r>
        <w:t>Bundesgericht (BGE), 1991-10-15, DE</w:t>
      </w:r>
    </w:p>
    <w:p>
      <w:r>
        <w:rPr>
          <w:b/>
        </w:rPr>
        <w:t xml:space="preserve">Quelle: </w:t>
      </w:r>
      <w:r>
        <w:t>https://mcp.opencaselaw.ch/entscheid/bge_122 III 99</w:t>
      </w:r>
    </w:p>
    <w:p>
      <w:r>
        <w:t>FR: ATF 122 III 99</w:t>
      </w:r>
    </w:p>
    <w:p>
      <w:r>
        <w:t>IT: DTF 122 III 99</w:t>
      </w:r>
    </w:p>
    <w:p>
      <w:pPr>
        <w:pStyle w:val="Heading2"/>
      </w:pPr>
      <w:r>
        <w:t>Regeste</w:t>
      </w:r>
    </w:p>
    <w:p>
      <w:r>
        <w:t>Regeste Eintragung einer Vaterschaftsanerkennung in das Zivilstandsregister (Art. 260 Abs. 3 ZGB; Art. 102 ZStV [SR 211.112.1]). Die Anerkennung durch Erklärung vor dem Zivilstandsbeamten ist ausgeschlossen, wenn durch rechtskräftiges Gerichtsurteil festgestellt worden ist, dass der Erklärende nicht der Vater des Kindes sei.</w:t>
      </w:r>
    </w:p>
    <w:p>
      <w:pPr>
        <w:pStyle w:val="Heading2"/>
      </w:pPr>
      <w:r>
        <w:t>Volltext</w:t>
      </w:r>
    </w:p>
    <w:p>
      <w:r>
        <w:t>Urteilskopf 122 III 99 20. Urteil der II. Zivilabteilung vom 5. März 1996 i.S. W. (Verwaltungsgerichtsbeschwerde) Regeste Eintragung einer Vaterschaftsanerkennung in das Zivilstandsregister ( Art. 260 Abs. 3 ZGB ; Art. 102 ZStV [SR 211.112.1]). Die Anerkennung durch Erklärung vor dem Zivilstandsbeamten ist ausgeschlossen, wenn durch rechtskräftiges Gerichtsurteil festgestellt worden ist, dass der Erklärende nicht der Vater des Kindes sei. Sachverhalt ab Seite 100 BGE 122 III 99 S. 100 Am 22. Mai 1990 gebar die damals mit W. verheiratete V. die Tochter S. In Gutheissung einer Klage von W. stellte das Bezirksgericht X. mit Urteil vom 15. Oktober 1991 (rechtskräftig seit 12. November 1991) fest, dass dieser nicht Vater des Kindes S. sei, und mit Urteil des gleichen Gerichts vom 15. Februar 1994 wurde die Ehe der Ehegatten W.-V. geschieden. W. erklärte im August 1994 gegenüber dem Zivilstandsamt X., er anerkenne S. als sein Kind, und verlangte, dass diese Anerkennung in das Zivilstandsregister eingetragen werde. Mit Verfügung vom 9. Dezember 1994 lehnte es das Zivilstandsamt ab, dem Begehren stattzugeben. Die von W. gegen diese Verfügung erhobene Beschwerde wies die Direktion des Innern des Kantons Zürich am 15. Dezember 1995 ab. W. führt Verwaltungsgerichtsbeschwerde mit dem Antrag, das Zivilstandsamt X. sei anzuweisen, seine Vaterschaftsanerkennung bezüglich S. zu beurkunden. Das Bundesgericht weist die Beschwerde ab Erwägungen aus folgender Erwägung: Wie die Direktion des Innern (namentlich unter Hinweis auf HEGNAUER, Berner Kommentar, N. 64 zu Art. 260 ZGB , TUOR/SCHNYDER/SCHMID, Das Schweizerische Zivilgesetzbuch, 11. A., S. 289 mit Anm. 31, und VPB 44/1980, Nr. 77) zutreffend festhält, steht einer Gutheissung des vom Beschwerdeführer beim Zivilstandsamt eingereichten Eintragungsbegehrens das von ihm selbst aufgrund von Art. 256 ZGB erwirkte Anfechtungsurteil des Bezirksgerichts X. vom 15. Oktober 1991 entgegen (vgl. auch STETTLER, Das Kindesrecht, in: Schweizerisches Privatrecht, Bd. III/2, S. 42, zum vergleichbaren Fall der Anerkennungserklärung im Anschluss an die erfolgreiche Anfechtung einer ersten Anerkennung). Die Begründung einer rechtlichen Verwandtschaftsbeziehung zwischen Vater und Kind durch die blosse Anerkennungserklärung vor dem Zivilstandsbeamten ( Art. 260 Abs. 3 ZGB ) ist nach Systematik und Sinn des Gesetzes ausschliesslich für den Fall der (erstmaligen) rechtlichen Bekräftigung der bis dahin lediglich natürlichen Verwandtschaft gedacht. Die erwähnte Form der Anerkennung des Kindes kann nicht dazu dienen, dem Erklärenden die Beseitigung der von ihm selbst erwirkten gerichtlichen Aufhebung eben dieser rechtlichen Beziehung zu ermöglichen, und zwar ungeachtet der Gründe, die einem solchen Bestreben zugrunde liegen mögen.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